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Экспертное</w:t>
      </w:r>
      <w:r>
        <w:rPr>
          <w:b/>
          <w:sz w:val="27"/>
          <w:szCs w:val="27"/>
        </w:rPr>
        <w:t xml:space="preserve"> заключени</w:t>
      </w:r>
      <w:r>
        <w:rPr>
          <w:b/>
          <w:sz w:val="27"/>
          <w:szCs w:val="27"/>
        </w:rPr>
        <w:t xml:space="preserve">е</w:t>
      </w:r>
      <w:r>
        <w:rPr>
          <w:b/>
          <w:sz w:val="27"/>
          <w:szCs w:val="27"/>
        </w:rPr>
      </w:r>
    </w:p>
    <w:p>
      <w:pPr>
        <w:jc w:val="center"/>
        <w:widowControl w:val="off"/>
        <w:rPr>
          <w:sz w:val="27"/>
          <w:szCs w:val="27"/>
        </w:rPr>
      </w:pPr>
      <w:r>
        <w:rPr>
          <w:b/>
          <w:sz w:val="27"/>
          <w:szCs w:val="27"/>
        </w:rPr>
        <w:t xml:space="preserve">об оценке</w:t>
      </w:r>
      <w:r>
        <w:rPr>
          <w:b/>
          <w:sz w:val="27"/>
          <w:szCs w:val="27"/>
        </w:rPr>
        <w:t xml:space="preserve"> проекта </w:t>
      </w:r>
      <w:r>
        <w:rPr>
          <w:b/>
          <w:sz w:val="27"/>
          <w:szCs w:val="27"/>
        </w:rPr>
        <w:t xml:space="preserve">муниципального нормативного правового акта</w:t>
      </w:r>
      <w:r>
        <w:rPr>
          <w:sz w:val="27"/>
          <w:szCs w:val="27"/>
        </w:rPr>
      </w:r>
    </w:p>
    <w:p>
      <w:pPr>
        <w:jc w:val="center"/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Общие сведения:</w:t>
      </w:r>
      <w:r>
        <w:rPr>
          <w:b/>
          <w:sz w:val="27"/>
          <w:szCs w:val="27"/>
        </w:rPr>
      </w:r>
    </w:p>
    <w:p>
      <w:pPr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Уполномоченный орган: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</w:t>
      </w:r>
      <w:r>
        <w:rPr>
          <w:sz w:val="27"/>
          <w:szCs w:val="27"/>
        </w:rPr>
        <w:t xml:space="preserve">епартамент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rPr>
          <w:bCs/>
          <w:sz w:val="27"/>
          <w:szCs w:val="27"/>
        </w:rPr>
      </w:pPr>
      <w:r>
        <w:rPr>
          <w:sz w:val="27"/>
          <w:szCs w:val="27"/>
          <w:u w:val="single"/>
        </w:rPr>
        <w:t xml:space="preserve">Регулирующий орган: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департамент градостроительного развития и архитектуры администрации города Нижнего Новгорода</w:t>
      </w:r>
      <w:r>
        <w:rPr>
          <w:rStyle w:val="622"/>
          <w:rFonts w:ascii="Times New Roman" w:hAnsi="Times New Roman" w:cs="Times New Roman"/>
          <w:sz w:val="27"/>
          <w:szCs w:val="27"/>
        </w:rPr>
        <w:t xml:space="preserve">.</w:t>
      </w:r>
      <w:r>
        <w:rPr>
          <w:bCs/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Наименование </w:t>
      </w:r>
      <w:r>
        <w:rPr>
          <w:sz w:val="27"/>
          <w:szCs w:val="27"/>
          <w:u w:val="single"/>
        </w:rPr>
        <w:t xml:space="preserve">регулирующего акта: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роект решения городской Думы  «</w:t>
      </w:r>
      <w:r>
        <w:rPr>
          <w:sz w:val="27"/>
          <w:szCs w:val="27"/>
        </w:rPr>
        <w:t xml:space="preserve">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принятых решением городской Думы города Нижнего Новгорода от 19.09.2012 № 119 </w:t>
      </w:r>
      <w:r>
        <w:rPr>
          <w:sz w:val="27"/>
          <w:szCs w:val="27"/>
        </w:rPr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Замечания по проведенной оценке </w:t>
      </w:r>
      <w:r>
        <w:rPr>
          <w:b/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widowControl w:val="off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К процедурам оценки:</w:t>
      </w:r>
      <w:r>
        <w:rPr>
          <w:sz w:val="27"/>
          <w:szCs w:val="27"/>
          <w:u w:val="single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Замечания к процедурам по проведенной оценке регулирующего воздействия отсутствуют.</w:t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Выводы:</w:t>
      </w:r>
      <w:r>
        <w:rPr>
          <w:b/>
          <w:sz w:val="27"/>
          <w:szCs w:val="27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регулирующего воздействия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роект</w:t>
      </w:r>
      <w:r>
        <w:rPr>
          <w:sz w:val="27"/>
          <w:szCs w:val="27"/>
        </w:rPr>
        <w:t xml:space="preserve">а</w:t>
      </w:r>
      <w:r>
        <w:rPr>
          <w:sz w:val="27"/>
          <w:szCs w:val="27"/>
        </w:rPr>
        <w:t xml:space="preserve"> решения городской Думы  «</w:t>
      </w:r>
      <w:r>
        <w:rPr>
          <w:sz w:val="27"/>
          <w:szCs w:val="27"/>
        </w:rPr>
        <w:t xml:space="preserve">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принятых решением городской Думы города Нижнего Новгорода от 19.09.2012 № 119 </w:t>
      </w:r>
      <w:r>
        <w:rPr>
          <w:sz w:val="27"/>
          <w:szCs w:val="27"/>
        </w:rPr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>
        <w:rPr>
          <w:sz w:val="27"/>
          <w:szCs w:val="27"/>
        </w:rPr>
        <w:t xml:space="preserve">года </w:t>
      </w:r>
      <w:r>
        <w:rPr>
          <w:sz w:val="27"/>
          <w:szCs w:val="27"/>
        </w:rPr>
        <w:t xml:space="preserve">№ 5493. Пояснительная записка к проекту составлена </w:t>
      </w:r>
      <w:r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п.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2.1.1 вышеназванного Порядка. </w:t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center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Информация об исполнителе:</w:t>
      </w:r>
      <w:r>
        <w:rPr>
          <w:b/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r>
        <w:rPr>
          <w:sz w:val="27"/>
          <w:szCs w:val="27"/>
        </w:rPr>
        <w:t xml:space="preserve">департамента экономического развития администрации города Нижнего Новгорода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Контактный телефон: 467 10 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(5931).</w:t>
      </w:r>
      <w:r>
        <w:rPr>
          <w:sz w:val="27"/>
          <w:szCs w:val="27"/>
        </w:rPr>
      </w:r>
    </w:p>
    <w:p>
      <w:pPr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Адрес электронной почты: </w:t>
      </w:r>
      <w:r>
        <w:rPr>
          <w:sz w:val="27"/>
          <w:szCs w:val="27"/>
        </w:rPr>
        <w:t xml:space="preserve">goncharova@admgor.nnov.ru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widowControl w:val="off"/>
        <w:rPr>
          <w:sz w:val="27"/>
          <w:szCs w:val="27"/>
          <w:highlight w:val="yellow"/>
        </w:rPr>
      </w:pPr>
      <w:r>
        <w:rPr>
          <w:sz w:val="27"/>
          <w:szCs w:val="27"/>
          <w:highlight w:val="yellow"/>
        </w:rPr>
      </w:r>
      <w:r>
        <w:rPr>
          <w:sz w:val="27"/>
          <w:szCs w:val="27"/>
          <w:highlight w:val="yellow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директора департамента, </w:t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экономического </w:t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анализа и перспективного планирования </w:t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департамента экономического развития</w:t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Нижнего Новгорода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Я.Е.Гончарова</w:t>
      </w:r>
      <w:r>
        <w:rPr>
          <w:sz w:val="27"/>
          <w:szCs w:val="27"/>
        </w:rPr>
      </w:r>
    </w:p>
    <w:sectPr>
      <w:footnotePr/>
      <w:endnotePr/>
      <w:type w:val="nextPage"/>
      <w:pgSz w:w="11906" w:h="16838" w:orient="portrait"/>
      <w:pgMar w:top="709" w:right="567" w:bottom="426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sz w:val="24"/>
      <w:szCs w:val="24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semiHidden/>
    <w:rPr>
      <w:rFonts w:ascii="Tahoma" w:hAnsi="Tahoma" w:cs="Tahoma"/>
      <w:sz w:val="16"/>
      <w:szCs w:val="16"/>
    </w:rPr>
  </w:style>
  <w:style w:type="character" w:styleId="622" w:customStyle="1">
    <w:name w:val="fontstyle01"/>
    <w:basedOn w:val="618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styleId="623">
    <w:name w:val="Hyperlink"/>
    <w:basedOn w:val="618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577E-2D8B-496F-939D-CC9A014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revision>40</cp:revision>
  <dcterms:created xsi:type="dcterms:W3CDTF">2020-08-21T11:49:00Z</dcterms:created>
  <dcterms:modified xsi:type="dcterms:W3CDTF">2023-11-16T13:44:21Z</dcterms:modified>
</cp:coreProperties>
</file>